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870" w:rsidRDefault="000B4870" w:rsidP="000B4870">
      <w:pPr>
        <w:widowControl w:val="0"/>
        <w:tabs>
          <w:tab w:val="left" w:pos="6379"/>
        </w:tabs>
        <w:autoSpaceDE w:val="0"/>
        <w:autoSpaceDN w:val="0"/>
        <w:spacing w:after="0"/>
        <w:ind w:left="6372" w:right="-428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  <w:t xml:space="preserve">Załącznik Nr 2 </w:t>
      </w:r>
    </w:p>
    <w:p w:rsidR="000B4870" w:rsidRDefault="000B4870" w:rsidP="000B4870">
      <w:pPr>
        <w:widowControl w:val="0"/>
        <w:tabs>
          <w:tab w:val="left" w:pos="6379"/>
        </w:tabs>
        <w:autoSpaceDE w:val="0"/>
        <w:autoSpaceDN w:val="0"/>
        <w:spacing w:after="0"/>
        <w:ind w:left="6372" w:right="-428"/>
        <w:rPr>
          <w:rFonts w:ascii="Times New Roman" w:eastAsia="Times New Roman" w:hAnsi="Times New Roman" w:cs="Times New Roman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pl-PL"/>
        </w:rPr>
        <w:t xml:space="preserve">do Zarządzenia Nr 301/2024 </w:t>
      </w:r>
    </w:p>
    <w:p w:rsidR="000B4870" w:rsidRDefault="000B4870" w:rsidP="000B4870">
      <w:pPr>
        <w:widowControl w:val="0"/>
        <w:tabs>
          <w:tab w:val="left" w:pos="6379"/>
        </w:tabs>
        <w:autoSpaceDE w:val="0"/>
        <w:autoSpaceDN w:val="0"/>
        <w:spacing w:after="0"/>
        <w:ind w:left="6372" w:right="-428"/>
        <w:rPr>
          <w:rFonts w:ascii="Times New Roman" w:eastAsia="Times New Roman" w:hAnsi="Times New Roman" w:cs="Times New Roman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pl-PL"/>
        </w:rPr>
        <w:t>Burmistrza Gminy Jedlicze</w:t>
      </w:r>
    </w:p>
    <w:p w:rsidR="000B4870" w:rsidRDefault="000B4870" w:rsidP="000B4870">
      <w:pPr>
        <w:widowControl w:val="0"/>
        <w:tabs>
          <w:tab w:val="left" w:pos="6379"/>
        </w:tabs>
        <w:autoSpaceDE w:val="0"/>
        <w:autoSpaceDN w:val="0"/>
        <w:spacing w:after="0"/>
        <w:ind w:left="6372" w:right="-428"/>
        <w:rPr>
          <w:rFonts w:ascii="Times New Roman" w:eastAsia="Times New Roman" w:hAnsi="Times New Roman" w:cs="Times New Roman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pl-PL"/>
        </w:rPr>
        <w:t>z dnia 27 listopada 2024 r.</w:t>
      </w:r>
    </w:p>
    <w:p w:rsidR="000B4870" w:rsidRDefault="000B4870" w:rsidP="000B4870">
      <w:pPr>
        <w:widowControl w:val="0"/>
        <w:tabs>
          <w:tab w:val="left" w:pos="6379"/>
        </w:tabs>
        <w:autoSpaceDE w:val="0"/>
        <w:autoSpaceDN w:val="0"/>
        <w:spacing w:after="0"/>
        <w:ind w:left="-284" w:right="-428"/>
        <w:jc w:val="center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pl-PL"/>
        </w:rPr>
      </w:pPr>
    </w:p>
    <w:p w:rsidR="000B4870" w:rsidRDefault="000B4870" w:rsidP="000B4870">
      <w:pPr>
        <w:widowControl w:val="0"/>
        <w:tabs>
          <w:tab w:val="left" w:pos="6379"/>
        </w:tabs>
        <w:autoSpaceDE w:val="0"/>
        <w:autoSpaceDN w:val="0"/>
        <w:spacing w:after="0"/>
        <w:ind w:left="-284" w:right="-428"/>
        <w:jc w:val="center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pl-PL"/>
        </w:rPr>
        <w:t xml:space="preserve">Formularz konsultacji społecznych </w:t>
      </w:r>
    </w:p>
    <w:p w:rsidR="000B4870" w:rsidRDefault="000B4870" w:rsidP="000B4870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kern w:val="28"/>
          <w:sz w:val="25"/>
          <w:szCs w:val="25"/>
          <w:lang w:eastAsia="pl-PL"/>
        </w:rPr>
      </w:pPr>
    </w:p>
    <w:p w:rsidR="000B4870" w:rsidRDefault="000B4870" w:rsidP="000B4870">
      <w:pPr>
        <w:widowControl w:val="0"/>
        <w:pBdr>
          <w:bottom w:val="single" w:sz="4" w:space="1" w:color="auto"/>
        </w:pBd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  <w:t xml:space="preserve"> Wyznaczenie obszaru zdegradowanego i obszaru rewitalizacji Gminy Jedlicze</w:t>
      </w:r>
    </w:p>
    <w:p w:rsidR="000B4870" w:rsidRDefault="000B4870" w:rsidP="000B4870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kern w:val="28"/>
          <w:sz w:val="18"/>
          <w:szCs w:val="18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ind w:left="-993" w:right="-569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  <w:t>Konsultacje prowadzone są w okresie od dnia 28 listopada 2024 r. do dnia 1 stycznia 2025 r.</w:t>
      </w:r>
    </w:p>
    <w:p w:rsidR="000B4870" w:rsidRDefault="000B4870" w:rsidP="000B4870">
      <w:pPr>
        <w:widowControl w:val="0"/>
        <w:autoSpaceDE w:val="0"/>
        <w:autoSpaceDN w:val="0"/>
        <w:spacing w:after="0"/>
        <w:ind w:left="-993" w:right="-569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  <w:t>Spotkanie informacyjno-konsultacyjne odbędzie się w dniu 9 grudnia 2024 r. w godzinach od 16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vertAlign w:val="superscript"/>
          <w:lang w:eastAsia="pl-PL"/>
        </w:rPr>
        <w:t>00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  <w:t xml:space="preserve"> do 17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vertAlign w:val="superscript"/>
          <w:lang w:eastAsia="pl-PL"/>
        </w:rPr>
        <w:t>30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  <w:t>.</w:t>
      </w: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i/>
          <w:color w:val="FF0000"/>
          <w:kern w:val="28"/>
          <w:sz w:val="24"/>
          <w:szCs w:val="24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120"/>
        <w:ind w:left="-6" w:hanging="11"/>
        <w:rPr>
          <w:rFonts w:ascii="Calibri" w:eastAsia="Calibri" w:hAnsi="Calibri" w:cs="Calibri"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  <w:t>UWAGA! Bardzo proszę o czytelne wypełnienie niniejszego formularza.</w:t>
      </w:r>
    </w:p>
    <w:p w:rsidR="000B4870" w:rsidRDefault="000B4870" w:rsidP="000B4870">
      <w:pPr>
        <w:widowControl w:val="0"/>
        <w:numPr>
          <w:ilvl w:val="0"/>
          <w:numId w:val="1"/>
        </w:numPr>
        <w:autoSpaceDE w:val="0"/>
        <w:autoSpaceDN w:val="0"/>
        <w:spacing w:after="0" w:line="256" w:lineRule="auto"/>
        <w:contextualSpacing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  <w:t xml:space="preserve">Informacje o zgłaszającym uwagi do Gminnego Programu Rewitalizacji (GPR) Gminy Jedlicze na lata 2024-2030Plus: </w:t>
      </w:r>
    </w:p>
    <w:tbl>
      <w:tblPr>
        <w:tblStyle w:val="TableGrid"/>
        <w:tblW w:w="9182" w:type="dxa"/>
        <w:tblInd w:w="-101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431"/>
        <w:gridCol w:w="396"/>
        <w:gridCol w:w="4539"/>
        <w:gridCol w:w="816"/>
      </w:tblGrid>
      <w:tr w:rsidR="000B4870" w:rsidTr="000B4870">
        <w:trPr>
          <w:trHeight w:val="427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Imię i Nazwisko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263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Nazwa* 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442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E-mail, telefon**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562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Adres zamieszkania/siedziby* 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286"/>
        </w:trPr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Rodzaj interesariusza </w:t>
            </w:r>
          </w:p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(zaznacz „X” w odpowiednim polu, istnieje możliwość wielokrotnego wyboru; w polach </w:t>
            </w:r>
          </w:p>
          <w:p w:rsidR="000B4870" w:rsidRDefault="000B4870">
            <w:pPr>
              <w:widowControl w:val="0"/>
              <w:autoSpaceDE w:val="0"/>
              <w:autoSpaceDN w:val="0"/>
              <w:spacing w:after="120"/>
              <w:ind w:right="19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8"/>
                <w:lang w:eastAsia="pl-PL"/>
              </w:rPr>
              <w:t>2, 4-7</w:t>
            </w: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 proszę podkreślić właściwą odpowiedź)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1.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Mieszkaniec obszaru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 </w:t>
            </w:r>
          </w:p>
        </w:tc>
      </w:tr>
      <w:tr w:rsidR="000B4870" w:rsidTr="000B4870">
        <w:trPr>
          <w:trHeight w:val="8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2.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 w:right="231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Właściciel, użytkownik wieczysty/podmiot administrujący nieruchomościami położonymi w obszarze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3.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Mieszkaniec gminy znajdujący się poza obszarem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8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4.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Podmiot prowadzący/zamierzający prowadzić działalność gospodarczą na obszarze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8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5.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Podmiot prowadzący/zamierzający prowadzić działalność gospodarczą na obszarze gminy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9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6.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Podmiot prowadzący/zamierzający prowadzić działalność społeczną (organizacje pozarządowe, grupy nieformalne) na obszarze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7.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Jednostka organizacyjna/jednostka samorządu terytorialnego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2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8.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Organ władzy publicznej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  <w:tr w:rsidR="000B4870" w:rsidTr="000B4870">
        <w:trPr>
          <w:trHeight w:val="8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9.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ind w:left="2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kern w:val="28"/>
                <w:lang w:eastAsia="pl-PL"/>
              </w:rPr>
              <w:t xml:space="preserve">Podmioty inne niż wymienione w pkt 8, realizujące na obszarze rewitalizacji uprawnienia Skarbu Państwa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870" w:rsidRDefault="000B4870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Calibri" w:eastAsia="Calibri" w:hAnsi="Calibri" w:cs="Calibri"/>
                <w:color w:val="000000"/>
                <w:kern w:val="28"/>
                <w:lang w:eastAsia="pl-PL"/>
              </w:rPr>
            </w:pPr>
          </w:p>
        </w:tc>
      </w:tr>
    </w:tbl>
    <w:p w:rsidR="000B4870" w:rsidRDefault="000B4870" w:rsidP="000B4870">
      <w:pPr>
        <w:widowControl w:val="0"/>
        <w:autoSpaceDE w:val="0"/>
        <w:autoSpaceDN w:val="0"/>
        <w:spacing w:after="2" w:line="256" w:lineRule="auto"/>
        <w:rPr>
          <w:rFonts w:ascii="Calibri" w:eastAsia="Calibri" w:hAnsi="Calibri" w:cs="Calibri"/>
          <w:color w:val="000000"/>
          <w:kern w:val="28"/>
          <w:sz w:val="2"/>
          <w:szCs w:val="2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 xml:space="preserve"> </w:t>
      </w:r>
    </w:p>
    <w:p w:rsidR="000B4870" w:rsidRDefault="000B4870" w:rsidP="000B4870">
      <w:pPr>
        <w:widowControl w:val="0"/>
        <w:autoSpaceDE w:val="0"/>
        <w:autoSpaceDN w:val="0"/>
        <w:spacing w:after="4" w:line="266" w:lineRule="auto"/>
        <w:ind w:left="-5" w:hanging="10"/>
        <w:jc w:val="both"/>
        <w:rPr>
          <w:rFonts w:ascii="Calibri" w:eastAsia="Calibri" w:hAnsi="Calibri" w:cs="Calibri"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 xml:space="preserve">*w przypadku organizacji/przedsiębiorstwa/jednostki.  </w:t>
      </w:r>
    </w:p>
    <w:p w:rsidR="000B4870" w:rsidRDefault="000B4870" w:rsidP="000B4870">
      <w:pPr>
        <w:widowControl w:val="0"/>
        <w:autoSpaceDE w:val="0"/>
        <w:autoSpaceDN w:val="0"/>
        <w:spacing w:after="4" w:line="266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**nr telefonu zostanie wykorzystany tylko w przypadku konieczności wyjaśnienia ewentualnych niejasności w treści zgłoszonej uwagi.</w:t>
      </w:r>
    </w:p>
    <w:p w:rsidR="000B4870" w:rsidRDefault="000B4870" w:rsidP="000B4870">
      <w:pPr>
        <w:widowControl w:val="0"/>
        <w:autoSpaceDE w:val="0"/>
        <w:autoSpaceDN w:val="0"/>
        <w:spacing w:after="4" w:line="266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4" w:line="266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</w:pPr>
    </w:p>
    <w:p w:rsidR="000B4870" w:rsidRDefault="000B4870" w:rsidP="000B4870">
      <w:pPr>
        <w:widowControl w:val="0"/>
        <w:numPr>
          <w:ilvl w:val="0"/>
          <w:numId w:val="1"/>
        </w:numPr>
        <w:autoSpaceDE w:val="0"/>
        <w:autoSpaceDN w:val="0"/>
        <w:spacing w:after="0" w:line="256" w:lineRule="auto"/>
        <w:ind w:hanging="218"/>
        <w:contextualSpacing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  <w:tab/>
        <w:t>Uwagi do obszaru zdegradowanego i rewitalizacji</w:t>
      </w:r>
    </w:p>
    <w:p w:rsidR="000B4870" w:rsidRDefault="000B4870" w:rsidP="000B4870">
      <w:pPr>
        <w:widowControl w:val="0"/>
        <w:numPr>
          <w:ilvl w:val="0"/>
          <w:numId w:val="2"/>
        </w:numPr>
        <w:autoSpaceDE w:val="0"/>
        <w:autoSpaceDN w:val="0"/>
        <w:spacing w:after="263" w:line="256" w:lineRule="auto"/>
        <w:jc w:val="both"/>
        <w:rPr>
          <w:rFonts w:ascii="Calibri" w:eastAsia="Calibri" w:hAnsi="Calibri" w:cs="Calibri"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Propozycje ewentualnych zmian obszaru zdegradowanego i obszaru rewitalizacji na terenie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pl-PL"/>
        </w:rPr>
        <w:t xml:space="preserve"> Gminy Jedlicze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 xml:space="preserve"> wraz z uzasadnieniem (prosimy o wskazanie przesłanek, w tym m.in. danych statystycznych uzasadniających wprowadzenie zmian). 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</w:t>
      </w:r>
    </w:p>
    <w:p w:rsidR="000B4870" w:rsidRDefault="000B4870" w:rsidP="000B4870">
      <w:pPr>
        <w:widowControl w:val="0"/>
        <w:numPr>
          <w:ilvl w:val="0"/>
          <w:numId w:val="2"/>
        </w:numPr>
        <w:autoSpaceDE w:val="0"/>
        <w:autoSpaceDN w:val="0"/>
        <w:spacing w:after="263" w:line="256" w:lineRule="auto"/>
        <w:jc w:val="both"/>
        <w:rPr>
          <w:rFonts w:ascii="Calibri" w:eastAsia="Calibri" w:hAnsi="Calibri" w:cs="Calibri"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 xml:space="preserve"> Inne opinie i propozycje dotyczące przedmiotu konsultacji 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180" w:line="256" w:lineRule="auto"/>
        <w:ind w:left="-284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  <w:t xml:space="preserve">Państwa uwagi są dla nas bardzo cenne. Dziękujemy za zaangażowanie, poświęcony czas oraz udział w konsultacjach. </w:t>
      </w:r>
    </w:p>
    <w:p w:rsidR="000B4870" w:rsidRDefault="000B4870" w:rsidP="000B4870">
      <w:pPr>
        <w:widowControl w:val="0"/>
        <w:numPr>
          <w:ilvl w:val="0"/>
          <w:numId w:val="1"/>
        </w:numPr>
        <w:autoSpaceDE w:val="0"/>
        <w:autoSpaceDN w:val="0"/>
        <w:spacing w:after="0" w:line="256" w:lineRule="auto"/>
        <w:ind w:hanging="218"/>
        <w:contextualSpacing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pl-PL"/>
        </w:rPr>
        <w:t xml:space="preserve">Data i czytelny podpis (imię i nazwisko) osoby wypełniającej formularz </w:t>
      </w:r>
    </w:p>
    <w:p w:rsidR="000B4870" w:rsidRDefault="000B4870" w:rsidP="000B4870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120"/>
        <w:ind w:left="720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263" w:line="256" w:lineRule="auto"/>
        <w:ind w:left="720"/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256" w:lineRule="auto"/>
        <w:ind w:left="720"/>
        <w:jc w:val="right"/>
        <w:rPr>
          <w:rFonts w:ascii="Times New Roman" w:eastAsia="Times New Roman" w:hAnsi="Times New Roman" w:cs="Times New Roman"/>
          <w:color w:val="000000"/>
          <w:kern w:val="28"/>
          <w:sz w:val="20"/>
          <w:szCs w:val="16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263" w:line="256" w:lineRule="auto"/>
        <w:ind w:left="720"/>
        <w:jc w:val="right"/>
        <w:rPr>
          <w:rFonts w:ascii="Times New Roman" w:eastAsia="Times New Roman" w:hAnsi="Times New Roman" w:cs="Times New Roman"/>
          <w:color w:val="000000"/>
          <w:kern w:val="28"/>
          <w:sz w:val="20"/>
          <w:szCs w:val="16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iCs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kern w:val="28"/>
          <w:sz w:val="20"/>
          <w:szCs w:val="20"/>
          <w:lang w:eastAsia="pl-PL"/>
        </w:rPr>
        <w:t>Wyrażam zgodę na przetwarzanie moich danych osobowych dla potrzeb związanych</w:t>
      </w:r>
      <w:r>
        <w:rPr>
          <w:rFonts w:ascii="Times New Roman" w:eastAsia="Times New Roman" w:hAnsi="Times New Roman" w:cs="Times New Roman"/>
          <w:i/>
          <w:iCs/>
          <w:kern w:val="28"/>
          <w:sz w:val="20"/>
          <w:szCs w:val="20"/>
          <w:lang w:eastAsia="pl-PL"/>
        </w:rPr>
        <w:br/>
        <w:t>z przeprowadzeniem konsultacji społecznych projektu uchwały w sprawie wyznaczenia obszaru zdegradowanego i obszaru rewitalizacji Gminy Jedlicze oraz Diagnozy służącej wyznaczeniu obszaru zdegradowanego i obszaru rewitalizacji na terenie Gminy Jedlicze. oraz oświadczam, że zapoznałem/zapoznałam się z „Klauzulą informacyjną o przetwarzaniu danych osobowych”.</w:t>
      </w: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iCs/>
          <w:kern w:val="28"/>
          <w:sz w:val="24"/>
          <w:szCs w:val="24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iCs/>
          <w:kern w:val="28"/>
          <w:sz w:val="24"/>
          <w:szCs w:val="24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iCs/>
          <w:kern w:val="28"/>
          <w:sz w:val="24"/>
          <w:szCs w:val="24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iCs/>
          <w:kern w:val="28"/>
          <w:sz w:val="24"/>
          <w:szCs w:val="24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263" w:line="256" w:lineRule="auto"/>
        <w:ind w:left="720"/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  <w:t>……………………………………….</w:t>
      </w:r>
    </w:p>
    <w:p w:rsidR="000B4870" w:rsidRDefault="000B4870" w:rsidP="000B4870">
      <w:pPr>
        <w:widowControl w:val="0"/>
        <w:autoSpaceDE w:val="0"/>
        <w:autoSpaceDN w:val="0"/>
        <w:spacing w:after="263" w:line="256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263" w:line="256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lastRenderedPageBreak/>
        <w:t>Klauzula informacyjna o przetwarzaniu danych</w:t>
      </w:r>
    </w:p>
    <w:p w:rsidR="000B4870" w:rsidRDefault="000B4870" w:rsidP="000B487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Zgodnie z art.13 Rozporządzenia Parlamentu Europejskiego i Rady (UE) 2016/679 z dnia 27 kwietnia 2016 r. w sprawie ochrony osób fizycznych w związku z przetwarzaniem danych osobowych i w sprawie swobodnego przepływu takich danych oraz uchylenia dyrektywy 95/46/WE (GDPR – General Data </w:t>
      </w:r>
      <w:proofErr w:type="spellStart"/>
      <w:r>
        <w:rPr>
          <w:rFonts w:ascii="Times New Roman" w:hAnsi="Times New Roman" w:cs="Times New Roman"/>
          <w:sz w:val="18"/>
          <w:szCs w:val="18"/>
        </w:rPr>
        <w:t>Protection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Regulation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– tekst opublikowany w Dzienniku UE) zwanym dalej RODO informujemy, iż: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Administratorem Pani/Pana danych osobowych jest Burmistrz Gminy Jedlicze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Dane inspektora ochrony danych są dostępne na stronie internetowej Gminy Jedlicze pod adresem: www.jedlicze.pl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Pani/Pana dane osobowe przetwarzane będą w celu przeprowadzenia konsultacji społecznych projektu uchwały w sprawie wyznaczenia obszaru zdegradowanego i obszaru rewitalizacji Gminy Jedlicze oraz Diagnozy służącej wyznaczeniu obszaru zdegradowanego i obszaru rewitalizacji na terenie Gminy Jedlicze, na podstawie załączonej zgody (art. 6 ust. 1 lit. a RODO) oraz wypełnienia obowiązku ciążącego na administratorze (art. 6 ust. 1 lit c RODO).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Odbiorcami Pani/Pana danych osobowych będą wyłącznie podmioty uprawnione do uzyskania danych osobowych na podstawie przepisów prawa. 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Pani/Pana dane osobowe przechowywane będą przez okres niezbędny do realizacji celu oraz zgodnie z terminami archiwizacji. 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Podstawą przetwarzania danych osobowych są obowiązujące przepisy prawa tj. ustawa z dnia 14 czerwca 1960 r. Kodeks Postępowania Administracyjnego, ustawa z dnia 8 marca 1990 r. o samorządzie gminnym.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Pana/Pani dane osobowe będą przechowywane przez okres wynikający z przepisów prawa oraz zgodnie z rozporządzeniem Prezesa Rady Ministrów z dnia 18 stycznia 2011 r. w sprawie organizacji i zakresu działania archiwów zakładowych (Dz.U. Nr 14, poz. 67 ze zm.).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Złożenie zgody jest dobrowolne i ma Pan/Pani prawo jej wycofania w każdym momencie.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Odbiorcami danych mogą być jednostki organizacyjne Gminy Jedlicze, podmioty wykonujące zadania publiczne lub działające na zlecenie organów władzy publicznej biorące udział w procedurze weryfikacji zgłoszonych uwag, opinii i propozycji dot. wyznaczenia obszaru zdegradowanego i obszaru rewitalizacji.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Pani/Pana dane osobowe mogą być udostępnione uprawnionym służbom i organom administracji publicznej, tylko jeśli przepisy ustaw to nakazują lub na to pozwalają.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Pana/Pani dane nie będą przetwarzane w sposób zautomatyzowany, w tym również w formie profilowania.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Podając numer telefonu wyraża Pan/Pani zgodę na jego przetwarzanie celem zapewnienia szybkiej i sprawnej komunikacji związanej z realizacją złożonego formularza.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 w:cs="Times New Roman"/>
          <w:kern w:val="28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kern w:val="28"/>
          <w:sz w:val="18"/>
          <w:szCs w:val="18"/>
          <w:lang w:eastAsia="pl-PL"/>
        </w:rPr>
        <w:t xml:space="preserve">Posiada Pani/Pan prawo do żądania od Administratora dostępu do danych osobowych, ich sprostowania, usunięcia lub ograniczenia przetwarzania. 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 w:cs="Times New Roman"/>
          <w:kern w:val="28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kern w:val="28"/>
          <w:sz w:val="18"/>
          <w:szCs w:val="18"/>
          <w:lang w:eastAsia="pl-PL"/>
        </w:rPr>
        <w:t>Pani/Pana dane osobowe nie będą przekazywane do państwa trzeciego w rozumieniu określonym w przepisach RODO.</w:t>
      </w:r>
    </w:p>
    <w:p w:rsidR="000B4870" w:rsidRDefault="000B4870" w:rsidP="000B4870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 w:cs="Times New Roman"/>
          <w:kern w:val="28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kern w:val="28"/>
          <w:sz w:val="18"/>
          <w:szCs w:val="18"/>
          <w:lang w:eastAsia="pl-PL"/>
        </w:rPr>
        <w:t>W przypadku uznania, że przetwarzanie przez Administratora danych osobowych narusza przepisy RODO przysługuje Pani/Panu prawo do wniesienia skargi do organu nadzorczego (tj. Prezesa Urzędu Ochrony Danych Osobowych ul. Stawki 2, 00-193 Warszawa).</w:t>
      </w: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0"/>
          <w:lang w:eastAsia="pl-PL"/>
        </w:rPr>
      </w:pPr>
    </w:p>
    <w:p w:rsidR="000B4870" w:rsidRDefault="000B4870" w:rsidP="000B4870">
      <w:pPr>
        <w:widowControl w:val="0"/>
        <w:numPr>
          <w:ilvl w:val="0"/>
          <w:numId w:val="1"/>
        </w:numPr>
        <w:autoSpaceDE w:val="0"/>
        <w:autoSpaceDN w:val="0"/>
        <w:spacing w:after="0" w:line="256" w:lineRule="auto"/>
        <w:ind w:hanging="218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28"/>
          <w:sz w:val="20"/>
          <w:szCs w:val="20"/>
          <w:lang w:eastAsia="pl-PL"/>
        </w:rPr>
        <w:lastRenderedPageBreak/>
        <w:t>Załącznik</w:t>
      </w:r>
      <w:bookmarkStart w:id="0" w:name="_Toc106136796"/>
      <w:bookmarkStart w:id="1" w:name="_Toc95467719"/>
      <w:r>
        <w:rPr>
          <w:rFonts w:ascii="Times New Roman" w:eastAsia="Times New Roman" w:hAnsi="Times New Roman" w:cs="Times New Roman"/>
          <w:b/>
          <w:color w:val="000000" w:themeColor="text1"/>
          <w:kern w:val="28"/>
          <w:sz w:val="20"/>
          <w:szCs w:val="20"/>
          <w:lang w:eastAsia="pl-PL"/>
        </w:rPr>
        <w:t xml:space="preserve"> do formularza: Podsumowanie</w:t>
      </w:r>
      <w:bookmarkEnd w:id="0"/>
      <w:bookmarkEnd w:id="1"/>
      <w:r>
        <w:rPr>
          <w:rFonts w:ascii="Times New Roman" w:eastAsia="Times New Roman" w:hAnsi="Times New Roman" w:cs="Times New Roman"/>
          <w:b/>
          <w:color w:val="000000" w:themeColor="text1"/>
          <w:kern w:val="28"/>
          <w:sz w:val="20"/>
          <w:szCs w:val="20"/>
          <w:lang w:eastAsia="pl-PL"/>
        </w:rPr>
        <w:t xml:space="preserve"> diagnozy służącej wyznaczeniu obszaru zdegradowanego </w:t>
      </w:r>
      <w:r>
        <w:rPr>
          <w:rFonts w:ascii="Times New Roman" w:eastAsia="Times New Roman" w:hAnsi="Times New Roman" w:cs="Times New Roman"/>
          <w:kern w:val="28"/>
          <w:sz w:val="20"/>
          <w:szCs w:val="20"/>
          <w:lang w:eastAsia="pl-PL"/>
        </w:rPr>
        <w:t>i rewitalizacji</w:t>
      </w:r>
      <w:r>
        <w:rPr>
          <w:rFonts w:ascii="Times New Roman" w:eastAsia="Times New Roman" w:hAnsi="Times New Roman" w:cs="Times New Roman"/>
          <w:b/>
          <w:color w:val="000000" w:themeColor="text1"/>
          <w:kern w:val="28"/>
          <w:sz w:val="20"/>
          <w:szCs w:val="20"/>
          <w:lang w:eastAsia="pl-PL"/>
        </w:rPr>
        <w:t>.</w:t>
      </w:r>
    </w:p>
    <w:p w:rsidR="000B4870" w:rsidRDefault="000B4870" w:rsidP="000B4870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  <w:t xml:space="preserve">Na podstawie przeprowadzonej analizy dokonano podsumowania degradacji wyznaczonych jednostek analitycznych (sołectw i miasta Jedlicze), za granice których przyjęto granice sołectw. Za jednostkę zdegradowaną w danej sferze uznawano każdą jednostkę, w której powyżej 50% wskaźników przyjęło wartości niekorzystne względem wartości dla całej Gminy Jedlicze. </w:t>
      </w:r>
    </w:p>
    <w:p w:rsidR="000B4870" w:rsidRDefault="000B4870" w:rsidP="000B4870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  <w:t>Dlatego też, aby uznać daną jednostkę za zdegradowaną liczba niekorzystnych wskaźników:</w:t>
      </w:r>
    </w:p>
    <w:p w:rsidR="000B4870" w:rsidRDefault="000B4870" w:rsidP="000B4870">
      <w:pPr>
        <w:widowControl w:val="0"/>
        <w:numPr>
          <w:ilvl w:val="0"/>
          <w:numId w:val="4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  <w:t>W sferze społecznej musiała wynosić co najmniej 9 na 17 analizowanych,</w:t>
      </w:r>
    </w:p>
    <w:p w:rsidR="000B4870" w:rsidRDefault="000B4870" w:rsidP="000B4870">
      <w:pPr>
        <w:widowControl w:val="0"/>
        <w:numPr>
          <w:ilvl w:val="0"/>
          <w:numId w:val="4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  <w:t>W sferze gospodarczej musiała wynosić co najmniej 2 na 3 analizowane,</w:t>
      </w:r>
    </w:p>
    <w:p w:rsidR="000B4870" w:rsidRDefault="000B4870" w:rsidP="000B4870">
      <w:pPr>
        <w:widowControl w:val="0"/>
        <w:numPr>
          <w:ilvl w:val="0"/>
          <w:numId w:val="4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  <w:t>W sferze technicznej musiała wynosić co najmniej 2 na 2 analizowane,</w:t>
      </w:r>
    </w:p>
    <w:p w:rsidR="000B4870" w:rsidRDefault="000B4870" w:rsidP="000B4870">
      <w:pPr>
        <w:widowControl w:val="0"/>
        <w:numPr>
          <w:ilvl w:val="0"/>
          <w:numId w:val="4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  <w:t>W sferze środowiskowej musiała wynosić co najmniej 2 na 2 analizowane,</w:t>
      </w:r>
    </w:p>
    <w:p w:rsidR="000B4870" w:rsidRDefault="000B4870" w:rsidP="000B4870">
      <w:pPr>
        <w:widowControl w:val="0"/>
        <w:numPr>
          <w:ilvl w:val="0"/>
          <w:numId w:val="4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Calibri Light" w:hAnsi="Times New Roman" w:cs="Times New Roman"/>
          <w:color w:val="000000" w:themeColor="text1"/>
          <w:kern w:val="28"/>
          <w:sz w:val="20"/>
          <w:szCs w:val="20"/>
          <w:lang w:eastAsia="pl-PL"/>
        </w:rPr>
        <w:t>W sferze przestrzenno-funkcjonalnej musiała wynosić co najmniej 4 na 7 analizowanych.</w:t>
      </w:r>
    </w:p>
    <w:p w:rsidR="000B4870" w:rsidRDefault="000B4870" w:rsidP="000B4870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  <w:t>Podsumowanie prezentowane jest poniżej.</w:t>
      </w:r>
    </w:p>
    <w:p w:rsidR="000B4870" w:rsidRDefault="000B4870" w:rsidP="000B4870">
      <w:pPr>
        <w:keepNext/>
        <w:widowControl w:val="0"/>
        <w:autoSpaceDE w:val="0"/>
        <w:autoSpaceDN w:val="0"/>
        <w:spacing w:after="200"/>
        <w:rPr>
          <w:rFonts w:ascii="Times New Roman" w:eastAsia="Calibri" w:hAnsi="Times New Roman" w:cs="Times New Roman"/>
          <w:i/>
          <w:iCs/>
          <w:color w:val="000000" w:themeColor="text1"/>
          <w:kern w:val="28"/>
          <w:sz w:val="18"/>
          <w:szCs w:val="18"/>
          <w:lang w:eastAsia="pl-PL"/>
        </w:rPr>
      </w:pPr>
      <w:bookmarkStart w:id="2" w:name="_Toc106748558"/>
      <w:bookmarkStart w:id="3" w:name="_Toc95477342"/>
      <w:r>
        <w:rPr>
          <w:rFonts w:ascii="Times New Roman" w:eastAsia="Calibri" w:hAnsi="Times New Roman" w:cs="Times New Roman"/>
          <w:i/>
          <w:iCs/>
          <w:color w:val="000000" w:themeColor="text1"/>
          <w:kern w:val="28"/>
          <w:sz w:val="18"/>
          <w:szCs w:val="18"/>
          <w:lang w:eastAsia="pl-PL"/>
        </w:rPr>
        <w:t xml:space="preserve">Tabela </w:t>
      </w:r>
      <w:r>
        <w:fldChar w:fldCharType="begin"/>
      </w:r>
      <w:r>
        <w:rPr>
          <w:rFonts w:ascii="Times New Roman" w:eastAsia="Calibri" w:hAnsi="Times New Roman" w:cs="Times New Roman"/>
          <w:i/>
          <w:iCs/>
          <w:noProof/>
          <w:color w:val="000000" w:themeColor="text1"/>
          <w:kern w:val="28"/>
          <w:sz w:val="18"/>
          <w:szCs w:val="18"/>
          <w:lang w:eastAsia="pl-PL"/>
        </w:rPr>
        <w:instrText xml:space="preserve"> SEQ Tabela \* ARABIC </w:instrText>
      </w:r>
      <w:r>
        <w:fldChar w:fldCharType="separate"/>
      </w:r>
      <w:r>
        <w:rPr>
          <w:rFonts w:ascii="Times New Roman" w:eastAsia="Calibri" w:hAnsi="Times New Roman" w:cs="Times New Roman"/>
          <w:i/>
          <w:iCs/>
          <w:noProof/>
          <w:color w:val="000000" w:themeColor="text1"/>
          <w:kern w:val="28"/>
          <w:sz w:val="18"/>
          <w:szCs w:val="18"/>
          <w:lang w:eastAsia="pl-PL"/>
        </w:rPr>
        <w:t>1</w:t>
      </w:r>
      <w:r>
        <w:fldChar w:fldCharType="end"/>
      </w:r>
      <w:r>
        <w:rPr>
          <w:rFonts w:ascii="Times New Roman" w:eastAsia="Calibri" w:hAnsi="Times New Roman" w:cs="Times New Roman"/>
          <w:i/>
          <w:iCs/>
          <w:color w:val="000000" w:themeColor="text1"/>
          <w:kern w:val="28"/>
          <w:sz w:val="18"/>
          <w:szCs w:val="18"/>
          <w:lang w:eastAsia="pl-PL"/>
        </w:rPr>
        <w:t>. Podsumowanie delimitacji obszaru rewitalizacji – liczba wskaźników niekorzystnych względem wartości dla obszaru zdegradowanego</w:t>
      </w:r>
      <w:bookmarkEnd w:id="2"/>
      <w:bookmarkEnd w:id="3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0"/>
        <w:gridCol w:w="1177"/>
        <w:gridCol w:w="1178"/>
        <w:gridCol w:w="1184"/>
        <w:gridCol w:w="1329"/>
        <w:gridCol w:w="2284"/>
      </w:tblGrid>
      <w:tr w:rsidR="000B4870" w:rsidTr="000B4870">
        <w:trPr>
          <w:trHeight w:val="20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Jednostka analityczna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Społeczna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Techniczna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Gospodarcza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Środowiskowa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Przestrzenno-funkcjonalna</w:t>
            </w:r>
          </w:p>
        </w:tc>
      </w:tr>
      <w:tr w:rsidR="000B4870" w:rsidTr="000B4870">
        <w:trPr>
          <w:trHeight w:val="20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Chlebna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6</w:t>
            </w:r>
          </w:p>
        </w:tc>
      </w:tr>
      <w:tr w:rsidR="000B4870" w:rsidTr="000B4870">
        <w:trPr>
          <w:trHeight w:val="20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Piotrówka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4</w:t>
            </w:r>
          </w:p>
        </w:tc>
      </w:tr>
      <w:tr w:rsidR="000B4870" w:rsidTr="000B4870">
        <w:trPr>
          <w:trHeight w:val="20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Dobieszyn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5</w:t>
            </w:r>
          </w:p>
        </w:tc>
      </w:tr>
      <w:tr w:rsidR="000B4870" w:rsidTr="000B4870">
        <w:trPr>
          <w:trHeight w:val="20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Potok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870" w:rsidRDefault="000B487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5</w:t>
            </w:r>
          </w:p>
        </w:tc>
      </w:tr>
    </w:tbl>
    <w:p w:rsidR="000B4870" w:rsidRDefault="000B4870" w:rsidP="000B4870">
      <w:pPr>
        <w:widowControl w:val="0"/>
        <w:autoSpaceDE w:val="0"/>
        <w:autoSpaceDN w:val="0"/>
        <w:spacing w:line="25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kern w:val="28"/>
          <w:sz w:val="20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kern w:val="28"/>
          <w:sz w:val="20"/>
          <w:szCs w:val="18"/>
          <w:lang w:eastAsia="pl-PL"/>
        </w:rPr>
        <w:t xml:space="preserve">Źródło: opracowanie własne </w:t>
      </w: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  <w:t xml:space="preserve">Na tej podstawie wskazano cztery jednostki analityczne odpowiadające granicom sołectw (miasto Jedlicze nie wykazało degradacji w analizie), które tworzą obszar rewitalizacji, następnie po analizie przestrzennej zdecydowano się wyodrębnić dwa podobszary rewitalizacji.  </w:t>
      </w: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FF0000"/>
          <w:kern w:val="28"/>
          <w:sz w:val="20"/>
          <w:szCs w:val="20"/>
          <w:lang w:eastAsia="pl-PL"/>
        </w:rPr>
      </w:pP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kern w:val="28"/>
          <w:sz w:val="20"/>
          <w:szCs w:val="20"/>
          <w:lang w:eastAsia="pl-PL"/>
        </w:rPr>
        <w:t>Charakterystyka jednostek wchodzących w skład obszaru zdegradowanego i rewitalizacji.</w:t>
      </w:r>
    </w:p>
    <w:p w:rsidR="000B4870" w:rsidRDefault="000B4870" w:rsidP="000B4870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FF0000"/>
          <w:kern w:val="28"/>
          <w:sz w:val="20"/>
          <w:szCs w:val="20"/>
          <w:lang w:eastAsia="pl-PL"/>
        </w:rPr>
      </w:pP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1656"/>
        <w:gridCol w:w="1655"/>
        <w:gridCol w:w="1196"/>
        <w:gridCol w:w="1196"/>
        <w:gridCol w:w="1742"/>
        <w:gridCol w:w="1617"/>
      </w:tblGrid>
      <w:tr w:rsidR="000B4870" w:rsidTr="000B4870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kern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Podobszar rewitalizacji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Jednostka analityczna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Liczba ludności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% ludności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Powierzchnia w ha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% powierzchni</w:t>
            </w:r>
          </w:p>
        </w:tc>
      </w:tr>
      <w:tr w:rsidR="000B4870" w:rsidTr="000B4870"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Podobszar 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Chlebna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736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4,92%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29,60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0,51%</w:t>
            </w:r>
          </w:p>
        </w:tc>
      </w:tr>
      <w:tr w:rsidR="000B4870" w:rsidTr="000B48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Piotrówka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416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2,78%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12,85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0,22%</w:t>
            </w:r>
          </w:p>
        </w:tc>
      </w:tr>
      <w:tr w:rsidR="000B4870" w:rsidTr="000B4870"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Podobszar II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Dobieszyn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1560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10,43%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53,91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0,92%</w:t>
            </w:r>
          </w:p>
        </w:tc>
      </w:tr>
      <w:tr w:rsidR="000B4870" w:rsidTr="000B48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Potok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1758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11,76%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79,84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1,36%</w:t>
            </w:r>
          </w:p>
        </w:tc>
      </w:tr>
      <w:tr w:rsidR="000B4870" w:rsidTr="000B4870">
        <w:tc>
          <w:tcPr>
            <w:tcW w:w="1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Łącznie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0B4870" w:rsidRDefault="000B487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4470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29,90%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0B4870" w:rsidRDefault="000B487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176,2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0B4870" w:rsidRDefault="000B48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0"/>
                <w:szCs w:val="20"/>
                <w:lang w:eastAsia="pl-PL"/>
              </w:rPr>
              <w:t>3,01%</w:t>
            </w:r>
          </w:p>
        </w:tc>
      </w:tr>
    </w:tbl>
    <w:p w:rsidR="000B4870" w:rsidRDefault="000B4870" w:rsidP="000B4870">
      <w:pPr>
        <w:widowControl w:val="0"/>
        <w:autoSpaceDE w:val="0"/>
        <w:autoSpaceDN w:val="0"/>
        <w:spacing w:line="25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kern w:val="28"/>
          <w:sz w:val="20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kern w:val="28"/>
          <w:sz w:val="20"/>
          <w:szCs w:val="18"/>
          <w:lang w:eastAsia="pl-PL"/>
        </w:rPr>
        <w:t xml:space="preserve">Źródło: opracowanie własne </w:t>
      </w:r>
    </w:p>
    <w:p w:rsidR="00183BA2" w:rsidRDefault="00183BA2">
      <w:bookmarkStart w:id="4" w:name="_GoBack"/>
      <w:bookmarkEnd w:id="4"/>
    </w:p>
    <w:sectPr w:rsidR="00183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1A9"/>
    <w:multiLevelType w:val="hybridMultilevel"/>
    <w:tmpl w:val="AB8204EC"/>
    <w:lvl w:ilvl="0" w:tplc="3CD41EFA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5C0C9D"/>
    <w:multiLevelType w:val="hybridMultilevel"/>
    <w:tmpl w:val="41ACF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22A46"/>
    <w:multiLevelType w:val="hybridMultilevel"/>
    <w:tmpl w:val="D33E9384"/>
    <w:lvl w:ilvl="0" w:tplc="B9A81BA6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9EE3000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DB60CB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79CBC88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33CC72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0B02DB8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3C83FA2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82C055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E6AA42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79353169"/>
    <w:multiLevelType w:val="hybridMultilevel"/>
    <w:tmpl w:val="898AF71C"/>
    <w:lvl w:ilvl="0" w:tplc="0664A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870"/>
    <w:rsid w:val="000B4870"/>
    <w:rsid w:val="0018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C5435-C2C0-459A-9E45-FF63325D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4870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0B4870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0B487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Kilar</dc:creator>
  <cp:keywords/>
  <dc:description/>
  <cp:lastModifiedBy>Dorota Kilar</cp:lastModifiedBy>
  <cp:revision>1</cp:revision>
  <dcterms:created xsi:type="dcterms:W3CDTF">2024-11-27T08:21:00Z</dcterms:created>
  <dcterms:modified xsi:type="dcterms:W3CDTF">2024-11-27T08:22:00Z</dcterms:modified>
</cp:coreProperties>
</file>